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84809CF-0F1A-4568-AC8F-B962CEC215B8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